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b w:val="0"/>
          <w:bCs/>
        </w:rPr>
      </w:pPr>
      <w:r>
        <w:rPr>
          <w:rFonts w:hint="eastAsia" w:ascii="宋体" w:hAnsi="宋体" w:eastAsia="宋体" w:cs="宋体"/>
          <w:b w:val="0"/>
          <w:bCs/>
          <w:sz w:val="72"/>
          <w:szCs w:val="72"/>
        </w:rPr>
        <w:t>马鞍山</w:t>
      </w:r>
      <w:r>
        <w:rPr>
          <w:rFonts w:hint="eastAsia" w:ascii="宋体" w:hAnsi="宋体" w:eastAsia="宋体" w:cs="宋体"/>
          <w:b w:val="0"/>
          <w:bCs/>
          <w:sz w:val="72"/>
          <w:szCs w:val="72"/>
          <w:lang w:eastAsia="zh-CN"/>
        </w:rPr>
        <w:t>市保安</w:t>
      </w:r>
      <w:r>
        <w:rPr>
          <w:rFonts w:hint="eastAsia" w:ascii="方正小标宋_GBK" w:hAnsi="方正小标宋_GBK" w:eastAsia="方正小标宋_GBK" w:cs="方正小标宋_GBK"/>
          <w:b w:val="0"/>
          <w:bCs/>
          <w:sz w:val="72"/>
          <w:szCs w:val="72"/>
        </w:rPr>
        <w:t>行业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集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体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合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同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二〇二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十九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甲方（职工方）                      乙方（企业方）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马鞍山市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保安</w:t>
      </w:r>
      <w:r>
        <w:rPr>
          <w:rFonts w:hint="eastAsia" w:ascii="宋体" w:hAnsi="宋体" w:eastAsia="宋体" w:cs="宋体"/>
          <w:sz w:val="28"/>
          <w:szCs w:val="28"/>
          <w:u w:val="single"/>
        </w:rPr>
        <w:t>行业工会联合会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马鞍山市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保安</w:t>
      </w:r>
      <w:r>
        <w:rPr>
          <w:rFonts w:hint="eastAsia" w:ascii="宋体" w:hAnsi="宋体" w:eastAsia="宋体" w:cs="宋体"/>
          <w:sz w:val="28"/>
          <w:szCs w:val="28"/>
          <w:u w:val="single"/>
        </w:rPr>
        <w:t>行业协会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涉及职工人数：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2356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 xml:space="preserve">人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涉及企业数：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>家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协商首席代表：                   </w:t>
      </w:r>
      <w:r>
        <w:rPr>
          <w:rFonts w:hint="default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协商首席代表：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刘志成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姓名：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朱雪城 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工会主席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default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协会会长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公民身份号码：                  </w:t>
      </w:r>
      <w:r>
        <w:rPr>
          <w:rFonts w:hint="default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公民身份号码：</w:t>
      </w:r>
    </w:p>
    <w:p>
      <w:pPr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340504195201100619            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8"/>
          <w:szCs w:val="28"/>
        </w:rPr>
        <w:t>340505196802240052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协商代表人数：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default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协商代表人数：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联系电话：18955500913            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联系电话：18955500910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ind w:firstLine="1320" w:firstLineChars="300"/>
        <w:jc w:val="both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马鞍山市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行业集体合同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第一章总则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>为建立和谐稳定的劳动关系，维护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保安</w:t>
      </w:r>
      <w:r>
        <w:rPr>
          <w:rFonts w:hint="eastAsia" w:ascii="仿宋" w:hAnsi="仿宋" w:eastAsia="仿宋" w:cs="仿宋"/>
          <w:sz w:val="28"/>
          <w:szCs w:val="28"/>
        </w:rPr>
        <w:t>行业内企业和职工的合法权益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，促进保安</w:t>
      </w:r>
      <w:r>
        <w:rPr>
          <w:rFonts w:hint="eastAsia" w:ascii="仿宋" w:hAnsi="仿宋" w:eastAsia="仿宋" w:cs="仿宋"/>
          <w:sz w:val="28"/>
          <w:szCs w:val="28"/>
        </w:rPr>
        <w:t>行业健康发展，依据《中华人民共和国劳动法》《中华人民共和国劳动合同法》《中华人民共和国工会法》《集体合同规定》《安徽省集体合同条例》等法律法规，经协商一致，共同签订本合同。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>本合同由马鞍山市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保安</w:t>
      </w:r>
      <w:r>
        <w:rPr>
          <w:rFonts w:hint="eastAsia" w:ascii="仿宋" w:hAnsi="仿宋" w:eastAsia="仿宋" w:cs="仿宋"/>
          <w:sz w:val="28"/>
          <w:szCs w:val="28"/>
        </w:rPr>
        <w:t>行业工会联合会代表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保安</w:t>
      </w:r>
      <w:r>
        <w:rPr>
          <w:rFonts w:hint="eastAsia" w:ascii="仿宋" w:hAnsi="仿宋" w:eastAsia="仿宋" w:cs="仿宋"/>
          <w:sz w:val="28"/>
          <w:szCs w:val="28"/>
        </w:rPr>
        <w:t>行业全体职工和马鞍山市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保安</w:t>
      </w:r>
      <w:r>
        <w:rPr>
          <w:rFonts w:hint="eastAsia" w:ascii="仿宋" w:hAnsi="仿宋" w:eastAsia="仿宋" w:cs="仿宋"/>
          <w:sz w:val="28"/>
          <w:szCs w:val="28"/>
        </w:rPr>
        <w:t>行业协会签订（相关企业附签）。本合同依法生效后，对辖区内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保安</w:t>
      </w:r>
      <w:r>
        <w:rPr>
          <w:rFonts w:hint="eastAsia" w:ascii="仿宋" w:hAnsi="仿宋" w:eastAsia="仿宋" w:cs="仿宋"/>
          <w:sz w:val="28"/>
          <w:szCs w:val="28"/>
        </w:rPr>
        <w:t>行业签约的所有企业和职工具有约束力。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本合同所称职工，是指与企业有劳动关系的职工。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第二章劳动报酬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>企业根据按劳分配原则，实行同工同酬，确定本企业的工资制度。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>各企业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保安人员</w:t>
      </w:r>
      <w:r>
        <w:rPr>
          <w:rFonts w:hint="eastAsia" w:ascii="仿宋" w:hAnsi="仿宋" w:eastAsia="仿宋" w:cs="仿宋"/>
          <w:sz w:val="28"/>
          <w:szCs w:val="28"/>
        </w:rPr>
        <w:t>岗位的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工资标准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2000 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（包含个人缴纳的社会保险费及住房公积金）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企业每月至少发放一次工资，发放日期为每月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，如遇节假日或休息日应当提前发放工资。不得拖欠、克扣工资。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应当建立正常的工资增长机制，使职工工资随企业经济效益增长，符合社会经济发展总体水平。职工年度平均工资水平应当根据政府公布的工资指导线、人力资源市场工资指导价位、本地区城镇居民的消费价格指数、本企业劳动生产率和经济效益等因素综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确定。生产经营正常、经济效益增长的企业,职工本年度平均工资水平比上一年度增长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企业应当以货币形式发放工资，不得以有价证券、实物等非货币形式发放工资。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第三章工作时间与休息休假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企业可以结合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保安</w:t>
      </w:r>
      <w:r>
        <w:rPr>
          <w:rFonts w:hint="eastAsia" w:ascii="仿宋" w:hAnsi="仿宋" w:eastAsia="仿宋" w:cs="仿宋"/>
          <w:sz w:val="28"/>
          <w:szCs w:val="28"/>
        </w:rPr>
        <w:t>行业的特点及自身情况，在保障职工身体健康的条件下，合理安排职工工作和休假，尽可能减少加班加点。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实行综合计算工时工作制或不定时工作制。每周至少休息一天，人均每天工作八小时，超时部分给与补休或支付加工资。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>因特殊原因需要延长工作时间的，在保障劳动者身体健康的条件下延长工作时间每日不得超过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小时，每月不得超过三十六小时。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企业安排职工加班加点的，应按规定支付加班费。加班费的基数应按照职工正常劳动情形下的收入确定，但企业可自行决定给付的福利除外。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企业安排职工加班加点的，应当按下列情形计发加班费：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（一）安排在工作日正常工作时间以外的时间工作的，按不低于基数的150%计发加班费；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（二）安排在休息日工作又不能安排补休的，按不低于基数的200%计发加班费；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（三）安排在国家法定休假日工作的，按不低于基数的300%计发加班费。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经劳动保障部门批准实行综合计算工时工作制的，职工在综合计算周期内总的工作时间超过总法定工作时间的部分，企业应按照本合同第十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条第二款第（一）项的约定支付职工工资报酬；职工在法定节假日劳动的，企业应按照本合同第十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条第二款第（三）项的约定支付职工工资报酬。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经劳动保障部门批准实行不定时工作制的，不执行本合同第十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条的约定</w:t>
      </w:r>
      <w:r>
        <w:rPr>
          <w:rFonts w:hint="eastAsia" w:ascii="仿宋" w:hAnsi="仿宋" w:eastAsia="仿宋" w:cs="仿宋"/>
          <w:b/>
          <w:sz w:val="28"/>
          <w:szCs w:val="28"/>
        </w:rPr>
        <w:t>（各公司须有申请材料报送人社局获准）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实行计件工资的岗位，职工完成计件定额后，企业安排其加班加点的，应当依据法律规定和本合同的约定计发加班费。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职工依法享受年休假、产假、婚假、丧假期间，企业应当按照劳动合同的约定支付工资。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第十五条</w:t>
      </w:r>
      <w:r>
        <w:rPr>
          <w:rFonts w:hint="eastAsia" w:ascii="仿宋" w:hAnsi="仿宋" w:eastAsia="仿宋" w:cs="仿宋"/>
          <w:sz w:val="28"/>
          <w:szCs w:val="28"/>
        </w:rPr>
        <w:t>发生自然灾害、事故或其他原因，企业应政府要求确实需要延长工作时间的，不受本合同第十条的约束。但是，企业应当依据法律规定和本合同的约定支付加班费。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第四章劳动条件与安全卫生防护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ascii="仿宋" w:hAnsi="仿宋" w:eastAsia="仿宋" w:cs="仿宋"/>
          <w:color w:val="auto"/>
          <w:sz w:val="28"/>
          <w:szCs w:val="28"/>
        </w:rPr>
        <w:t>气温高于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35</w:t>
      </w:r>
      <w:r>
        <w:rPr>
          <w:rFonts w:ascii="仿宋" w:hAnsi="仿宋" w:eastAsia="仿宋" w:cs="仿宋"/>
          <w:color w:val="auto"/>
          <w:sz w:val="28"/>
          <w:szCs w:val="28"/>
        </w:rPr>
        <w:t>摄氏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或低于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0摄氏度</w:t>
      </w:r>
      <w:r>
        <w:rPr>
          <w:rFonts w:ascii="仿宋" w:hAnsi="仿宋" w:eastAsia="仿宋" w:cs="仿宋"/>
          <w:color w:val="auto"/>
          <w:sz w:val="28"/>
          <w:szCs w:val="28"/>
        </w:rPr>
        <w:t>，企业应当提供必要的防暑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、防寒</w:t>
      </w:r>
      <w:r>
        <w:rPr>
          <w:rFonts w:ascii="仿宋" w:hAnsi="仿宋" w:eastAsia="仿宋" w:cs="仿宋"/>
          <w:color w:val="auto"/>
          <w:sz w:val="28"/>
          <w:szCs w:val="28"/>
        </w:rPr>
        <w:t>措施。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对于外勤人员（指室外执勤人员），</w:t>
      </w:r>
      <w:r>
        <w:rPr>
          <w:rFonts w:hint="eastAsia" w:ascii="仿宋" w:hAnsi="仿宋" w:eastAsia="仿宋" w:cs="仿宋"/>
          <w:sz w:val="28"/>
          <w:szCs w:val="28"/>
        </w:rPr>
        <w:t>在每年七月、八月发放200元/月的高温补贴，每年一月、二月发放50元/月的低温补贴。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企业应当为职工提供必要的劳动条件与安全卫生防护措施，积极改善工作环境和条件。企业应当为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保洁人员、护理人员</w:t>
      </w:r>
      <w:r>
        <w:rPr>
          <w:rFonts w:hint="eastAsia" w:ascii="仿宋" w:hAnsi="仿宋" w:eastAsia="仿宋" w:cs="仿宋"/>
          <w:sz w:val="28"/>
          <w:szCs w:val="28"/>
        </w:rPr>
        <w:t>提供手套、口罩等必要的劳动工具和安全卫生防护措施。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第十九条</w:t>
      </w:r>
      <w:r>
        <w:rPr>
          <w:rFonts w:hint="eastAsia" w:ascii="仿宋" w:hAnsi="仿宋" w:eastAsia="仿宋" w:cs="仿宋"/>
          <w:sz w:val="28"/>
          <w:szCs w:val="28"/>
        </w:rPr>
        <w:t>企业应当为职工提供职业技能与安全卫生防护培训；对于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全部</w:t>
      </w:r>
      <w:r>
        <w:rPr>
          <w:rFonts w:hint="eastAsia" w:ascii="仿宋" w:hAnsi="仿宋" w:eastAsia="仿宋" w:cs="仿宋"/>
          <w:sz w:val="28"/>
          <w:szCs w:val="28"/>
        </w:rPr>
        <w:t>人员，应当每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半年</w:t>
      </w:r>
      <w:r>
        <w:rPr>
          <w:rFonts w:hint="eastAsia" w:ascii="仿宋" w:hAnsi="仿宋" w:eastAsia="仿宋" w:cs="仿宋"/>
          <w:sz w:val="28"/>
          <w:szCs w:val="28"/>
        </w:rPr>
        <w:t>至少进行一次安全警示教育培训。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第二十条</w:t>
      </w:r>
      <w:r>
        <w:rPr>
          <w:rFonts w:hint="eastAsia" w:ascii="仿宋" w:hAnsi="仿宋" w:eastAsia="仿宋" w:cs="仿宋"/>
          <w:sz w:val="28"/>
          <w:szCs w:val="28"/>
        </w:rPr>
        <w:t>企业应当每年安排职工进行一次健康体检。对于特殊岗位的职工，应当定期进行专项体检。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第五章社会保险和福利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企业和职工依法参加社会保险，职工依法享有社会保险待遇。社会保险费用的负担按照法律、法规和规章的规定执行。鼓励企业为职工购买人身意外保险等商业保险。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企业根据经济效益情况，应当逐步发展并改善职工的文娱设施、交通、住房等条件。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第六章女职工与未成年工特殊保护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企业应当遵守国家关于女职工劳动保护的特别规定，实行对女职工孕期、产期、哺乳期、经期、更年期的保护。企业不得安排女职工从事国家规定的禁忌从事的劳动。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企业应当遵守国家有关女职工产假待遇的规定，符合国家计划生育政策的女职工生育，执行《安徽省人口计划生育条例》给予产假。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企业应当遵守国家关于未成年工劳动保护的特别规定，不得安排未成年工从事国家规定的禁忌从事的劳动。企业应当安排未成年工定期进行健康体检。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第七章集体合同期限</w:t>
      </w:r>
    </w:p>
    <w:p>
      <w:pPr>
        <w:spacing w:line="600" w:lineRule="exact"/>
        <w:ind w:firstLine="7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第八章合同的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第二十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本合同有效期限为叁年。自202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spacing w:line="6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变更、解除与终止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若因签订合同的环境和条件发生变化，导致本合同无法履行时，任何一方均可以提出变更或解除合同的要求，另一方应给与答复。双方经协商同意变更或解除合同的，应按照《集体合同规定》《安徽省集体合同条例》的程序进行。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本合同期限届满前三个月，双方应进行集体协商重新签订集体合同。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第九章附则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经双方协商同意成立马鞍山市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保安</w:t>
      </w:r>
      <w:r>
        <w:rPr>
          <w:rFonts w:hint="eastAsia" w:ascii="仿宋" w:hAnsi="仿宋" w:eastAsia="仿宋" w:cs="仿宋"/>
          <w:sz w:val="28"/>
          <w:szCs w:val="28"/>
        </w:rPr>
        <w:t>行业集体合同履行监督检查小组，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组成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名单：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朱雪城、刘志成、殷贤村。</w:t>
      </w:r>
      <w:r>
        <w:rPr>
          <w:rFonts w:hint="default" w:ascii="仿宋" w:hAnsi="仿宋" w:eastAsia="仿宋" w:cs="仿宋"/>
          <w:color w:val="auto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仿宋" w:hAnsi="仿宋" w:eastAsia="仿宋" w:cs="仿宋"/>
          <w:color w:val="auto"/>
          <w:sz w:val="28"/>
          <w:szCs w:val="28"/>
        </w:rPr>
        <w:t xml:space="preserve">   </w:t>
      </w:r>
      <w:r>
        <w:rPr>
          <w:rFonts w:hint="default" w:ascii="仿宋" w:hAnsi="仿宋" w:eastAsia="仿宋" w:cs="仿宋"/>
          <w:color w:val="FF0000"/>
          <w:sz w:val="28"/>
          <w:szCs w:val="28"/>
        </w:rPr>
        <w:t xml:space="preserve">                  </w:t>
      </w:r>
    </w:p>
    <w:p>
      <w:pPr>
        <w:spacing w:line="6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二十九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本合同未尽事宜，依据法律、法规、规章的规定执行；无规定的，双方可以在集体协商一致后，依法订立补充协议，送劳动行政部门审查。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第三十条</w:t>
      </w:r>
      <w:r>
        <w:rPr>
          <w:rFonts w:hint="eastAsia" w:ascii="仿宋" w:hAnsi="仿宋" w:eastAsia="仿宋" w:cs="仿宋"/>
          <w:sz w:val="28"/>
          <w:szCs w:val="28"/>
        </w:rPr>
        <w:t>本合同送劳动行政部门审查，自审查登记完成之日起生效。合同生效后，应当在合同生效后三日内由协商代表以适当形式向全体人员公布。</w:t>
      </w:r>
    </w:p>
    <w:p>
      <w:pPr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>本合同一式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份，协商双方（行业工会联合会、行业协会）各持一份，送市总工会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备案一份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240" w:lineRule="auto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250825</wp:posOffset>
            </wp:positionV>
            <wp:extent cx="1554480" cy="1560830"/>
            <wp:effectExtent l="0" t="0" r="0" b="0"/>
            <wp:wrapNone/>
            <wp:docPr id="2" name="图片 2" descr="协会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电子公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73025</wp:posOffset>
            </wp:positionV>
            <wp:extent cx="1554480" cy="1560830"/>
            <wp:effectExtent l="0" t="0" r="0" b="0"/>
            <wp:wrapNone/>
            <wp:docPr id="3" name="图片 3" descr="工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会公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企业方首席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协商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代表签字：          职工方首席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协商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代表签字：</w:t>
      </w:r>
    </w:p>
    <w:p>
      <w:pPr>
        <w:spacing w:line="24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企业（盖章）            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   工会（盖章）</w:t>
      </w:r>
    </w:p>
    <w:p>
      <w:pPr>
        <w:spacing w:line="240" w:lineRule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2023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日     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2023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</w:t>
      </w:r>
    </w:p>
    <w:p>
      <w:pPr>
        <w:jc w:val="both"/>
        <w:rPr>
          <w:rFonts w:ascii="宋体" w:hAnsi="宋体" w:eastAsia="宋体" w:cs="宋体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ZTNkMzAxNzE1OTQxYTg0ZmFhMWJjOTM5MmVmYmMifQ=="/>
  </w:docVars>
  <w:rsids>
    <w:rsidRoot w:val="00CA48D6"/>
    <w:rsid w:val="00053956"/>
    <w:rsid w:val="00081069"/>
    <w:rsid w:val="000B4E76"/>
    <w:rsid w:val="000C6BBF"/>
    <w:rsid w:val="00152133"/>
    <w:rsid w:val="0016556F"/>
    <w:rsid w:val="00174835"/>
    <w:rsid w:val="00175798"/>
    <w:rsid w:val="001C3F45"/>
    <w:rsid w:val="002E24EC"/>
    <w:rsid w:val="002F07B2"/>
    <w:rsid w:val="003118B2"/>
    <w:rsid w:val="00350947"/>
    <w:rsid w:val="00375E90"/>
    <w:rsid w:val="003D5DFE"/>
    <w:rsid w:val="003D6B55"/>
    <w:rsid w:val="003F084D"/>
    <w:rsid w:val="00451B94"/>
    <w:rsid w:val="00467C10"/>
    <w:rsid w:val="00486904"/>
    <w:rsid w:val="004D23AA"/>
    <w:rsid w:val="004F6F51"/>
    <w:rsid w:val="00535579"/>
    <w:rsid w:val="00543DBB"/>
    <w:rsid w:val="005526DA"/>
    <w:rsid w:val="00561720"/>
    <w:rsid w:val="00575913"/>
    <w:rsid w:val="0063492D"/>
    <w:rsid w:val="006623FF"/>
    <w:rsid w:val="00670834"/>
    <w:rsid w:val="00687509"/>
    <w:rsid w:val="006A0455"/>
    <w:rsid w:val="006B461D"/>
    <w:rsid w:val="006B4AE8"/>
    <w:rsid w:val="006E5D78"/>
    <w:rsid w:val="006F0DE7"/>
    <w:rsid w:val="00732B1E"/>
    <w:rsid w:val="00733D7D"/>
    <w:rsid w:val="00753176"/>
    <w:rsid w:val="007B7C35"/>
    <w:rsid w:val="007C24E9"/>
    <w:rsid w:val="007D6C2E"/>
    <w:rsid w:val="007F0423"/>
    <w:rsid w:val="008147E3"/>
    <w:rsid w:val="008A1043"/>
    <w:rsid w:val="008D3F0F"/>
    <w:rsid w:val="008E280D"/>
    <w:rsid w:val="00906282"/>
    <w:rsid w:val="0095713F"/>
    <w:rsid w:val="0096339B"/>
    <w:rsid w:val="009A7D1D"/>
    <w:rsid w:val="00A924F1"/>
    <w:rsid w:val="00AB3BC2"/>
    <w:rsid w:val="00AD582C"/>
    <w:rsid w:val="00B1137E"/>
    <w:rsid w:val="00B27AD8"/>
    <w:rsid w:val="00C005AE"/>
    <w:rsid w:val="00C12CB4"/>
    <w:rsid w:val="00C36432"/>
    <w:rsid w:val="00C5272B"/>
    <w:rsid w:val="00C57595"/>
    <w:rsid w:val="00CA48D6"/>
    <w:rsid w:val="00D259C8"/>
    <w:rsid w:val="00D45529"/>
    <w:rsid w:val="00D61979"/>
    <w:rsid w:val="00D71090"/>
    <w:rsid w:val="00D77B3C"/>
    <w:rsid w:val="00D8033C"/>
    <w:rsid w:val="00DD61FF"/>
    <w:rsid w:val="00DE6390"/>
    <w:rsid w:val="00DF05CB"/>
    <w:rsid w:val="00DF6B1B"/>
    <w:rsid w:val="00DF7A9B"/>
    <w:rsid w:val="00E03426"/>
    <w:rsid w:val="00E24B9D"/>
    <w:rsid w:val="00E413F8"/>
    <w:rsid w:val="00E5140E"/>
    <w:rsid w:val="00E60CE0"/>
    <w:rsid w:val="00EC11EA"/>
    <w:rsid w:val="00EC6E15"/>
    <w:rsid w:val="00ED02D2"/>
    <w:rsid w:val="00ED2BA3"/>
    <w:rsid w:val="00ED54B9"/>
    <w:rsid w:val="00EF5E63"/>
    <w:rsid w:val="00F14B6E"/>
    <w:rsid w:val="00F44623"/>
    <w:rsid w:val="00FC0439"/>
    <w:rsid w:val="00FC6CBA"/>
    <w:rsid w:val="01F85938"/>
    <w:rsid w:val="025726EA"/>
    <w:rsid w:val="03334A0C"/>
    <w:rsid w:val="0391347D"/>
    <w:rsid w:val="039D0B56"/>
    <w:rsid w:val="0510423A"/>
    <w:rsid w:val="069D432D"/>
    <w:rsid w:val="07F41CF0"/>
    <w:rsid w:val="09437649"/>
    <w:rsid w:val="097415CD"/>
    <w:rsid w:val="097A4775"/>
    <w:rsid w:val="0BFA52B0"/>
    <w:rsid w:val="0C606C7A"/>
    <w:rsid w:val="0CB57BFC"/>
    <w:rsid w:val="0DF27959"/>
    <w:rsid w:val="0F1B5FE9"/>
    <w:rsid w:val="0FCF00D6"/>
    <w:rsid w:val="11044D85"/>
    <w:rsid w:val="142F4C58"/>
    <w:rsid w:val="195F3DBF"/>
    <w:rsid w:val="19EE117E"/>
    <w:rsid w:val="1AAF517A"/>
    <w:rsid w:val="1BE003E6"/>
    <w:rsid w:val="1C743582"/>
    <w:rsid w:val="1CAA2F0E"/>
    <w:rsid w:val="1DDDA433"/>
    <w:rsid w:val="1E3F23D4"/>
    <w:rsid w:val="1F5B86C9"/>
    <w:rsid w:val="20EB2AE6"/>
    <w:rsid w:val="21BF15A0"/>
    <w:rsid w:val="21F7309F"/>
    <w:rsid w:val="229F08BE"/>
    <w:rsid w:val="25EA4632"/>
    <w:rsid w:val="268776BB"/>
    <w:rsid w:val="26E500B5"/>
    <w:rsid w:val="26EC6F23"/>
    <w:rsid w:val="28BA01A7"/>
    <w:rsid w:val="28D345A7"/>
    <w:rsid w:val="299B7DC6"/>
    <w:rsid w:val="2A641635"/>
    <w:rsid w:val="2A9E5801"/>
    <w:rsid w:val="2ACD41CF"/>
    <w:rsid w:val="2C732934"/>
    <w:rsid w:val="2D1C43A0"/>
    <w:rsid w:val="2D553BAD"/>
    <w:rsid w:val="2DC0018E"/>
    <w:rsid w:val="2DC16F73"/>
    <w:rsid w:val="2DD913F4"/>
    <w:rsid w:val="2DFA7CD4"/>
    <w:rsid w:val="2DFF753E"/>
    <w:rsid w:val="2F5542AC"/>
    <w:rsid w:val="367D11C7"/>
    <w:rsid w:val="377E67C2"/>
    <w:rsid w:val="37BE5938"/>
    <w:rsid w:val="3819544E"/>
    <w:rsid w:val="38E07118"/>
    <w:rsid w:val="3A47489A"/>
    <w:rsid w:val="3B6C62FA"/>
    <w:rsid w:val="3D2E308E"/>
    <w:rsid w:val="3EFDC640"/>
    <w:rsid w:val="3EFFAD76"/>
    <w:rsid w:val="3F034D18"/>
    <w:rsid w:val="3F593463"/>
    <w:rsid w:val="3FFB2275"/>
    <w:rsid w:val="4179671B"/>
    <w:rsid w:val="429B4F08"/>
    <w:rsid w:val="45BD0DAE"/>
    <w:rsid w:val="46FE23A7"/>
    <w:rsid w:val="48735A6C"/>
    <w:rsid w:val="493E3DF2"/>
    <w:rsid w:val="4B3E326A"/>
    <w:rsid w:val="4B9B3AD4"/>
    <w:rsid w:val="4C6E27C7"/>
    <w:rsid w:val="4CC4242B"/>
    <w:rsid w:val="4E650B02"/>
    <w:rsid w:val="4EFF05F9"/>
    <w:rsid w:val="4EFF52C0"/>
    <w:rsid w:val="502512B8"/>
    <w:rsid w:val="5104346A"/>
    <w:rsid w:val="51BB793D"/>
    <w:rsid w:val="523F9E8B"/>
    <w:rsid w:val="52673F38"/>
    <w:rsid w:val="55E6B9D1"/>
    <w:rsid w:val="57738FF7"/>
    <w:rsid w:val="577910BB"/>
    <w:rsid w:val="578868E2"/>
    <w:rsid w:val="578B60AE"/>
    <w:rsid w:val="57F82F94"/>
    <w:rsid w:val="5A595311"/>
    <w:rsid w:val="5BDD6C5E"/>
    <w:rsid w:val="5C0E66FD"/>
    <w:rsid w:val="5CE73BDF"/>
    <w:rsid w:val="5D3E4715"/>
    <w:rsid w:val="5DE175BF"/>
    <w:rsid w:val="5F7F6FB6"/>
    <w:rsid w:val="5FBD81E6"/>
    <w:rsid w:val="5FBEAC2D"/>
    <w:rsid w:val="609B3C2C"/>
    <w:rsid w:val="6343463D"/>
    <w:rsid w:val="67798F01"/>
    <w:rsid w:val="695D2896"/>
    <w:rsid w:val="69F10D61"/>
    <w:rsid w:val="6A1356C3"/>
    <w:rsid w:val="6BCFDD15"/>
    <w:rsid w:val="6DBF4CD8"/>
    <w:rsid w:val="6F34186D"/>
    <w:rsid w:val="6F5B73A8"/>
    <w:rsid w:val="6FFFFBF3"/>
    <w:rsid w:val="700D4183"/>
    <w:rsid w:val="71BD6397"/>
    <w:rsid w:val="72B7E107"/>
    <w:rsid w:val="73AE7F4B"/>
    <w:rsid w:val="753C19D0"/>
    <w:rsid w:val="7544212D"/>
    <w:rsid w:val="76D65566"/>
    <w:rsid w:val="77054941"/>
    <w:rsid w:val="792C4189"/>
    <w:rsid w:val="796E7B52"/>
    <w:rsid w:val="7A073509"/>
    <w:rsid w:val="7ACBC664"/>
    <w:rsid w:val="7B3B55D8"/>
    <w:rsid w:val="7BFDC4F0"/>
    <w:rsid w:val="7C777286"/>
    <w:rsid w:val="7CF3A233"/>
    <w:rsid w:val="7D7CBA16"/>
    <w:rsid w:val="7E779301"/>
    <w:rsid w:val="7F315A30"/>
    <w:rsid w:val="7F7F11FB"/>
    <w:rsid w:val="7F7F4A97"/>
    <w:rsid w:val="7FA9A0A1"/>
    <w:rsid w:val="7FAFF2DC"/>
    <w:rsid w:val="7FDEBFCE"/>
    <w:rsid w:val="7FF79360"/>
    <w:rsid w:val="8FFE8B0E"/>
    <w:rsid w:val="A7DD2DF1"/>
    <w:rsid w:val="A7DF4D2D"/>
    <w:rsid w:val="AEDBE29F"/>
    <w:rsid w:val="BE3D8715"/>
    <w:rsid w:val="C6ED7239"/>
    <w:rsid w:val="CBFE5C14"/>
    <w:rsid w:val="D7764AF6"/>
    <w:rsid w:val="D7B7D777"/>
    <w:rsid w:val="DE5D1BAE"/>
    <w:rsid w:val="DE6F0A03"/>
    <w:rsid w:val="DF759477"/>
    <w:rsid w:val="E9ED28E7"/>
    <w:rsid w:val="EBEFA820"/>
    <w:rsid w:val="EF0B8CDB"/>
    <w:rsid w:val="EF8246DD"/>
    <w:rsid w:val="EFFB2190"/>
    <w:rsid w:val="F27F01B7"/>
    <w:rsid w:val="F778EA04"/>
    <w:rsid w:val="F7F38438"/>
    <w:rsid w:val="F7FFAFF7"/>
    <w:rsid w:val="FB777B57"/>
    <w:rsid w:val="FB9FEF05"/>
    <w:rsid w:val="FBDD44AC"/>
    <w:rsid w:val="FDBFE560"/>
    <w:rsid w:val="FF33DA61"/>
    <w:rsid w:val="FF6F4407"/>
    <w:rsid w:val="FFCFE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15</Pages>
  <Words>783</Words>
  <Characters>4468</Characters>
  <Lines>37</Lines>
  <Paragraphs>10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2021-08-31T18:38:00Z</dcterms:created>
  <dc:creator>李乾</dc:creator>
  <cp:lastModifiedBy>WPS_1703575919</cp:lastModifiedBy>
  <cp:lastPrinted>2023-07-17T06:56:00Z</cp:lastPrinted>
  <dcterms:modified xsi:type="dcterms:W3CDTF">2024-01-22T03:03:27Z</dcterms:modified>
  <dc:title>马鞍山市保安行业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3BC7D6186BE744E1A9902EC3CF550233_13</vt:lpwstr>
  </property>
</Properties>
</file>